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9aee4ef89e0458f"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43142</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CENTAR ZA KULTURU I INFORMIRANJE DRAGUTIN NOVAK LUDBREG</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551.065,57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655.752,08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536.293,29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592.341,37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14.772,28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63.410,71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429,3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4.507,58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PRIHODA OD NEFINANCIJSKE IMOVINE (šifre 7-4,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X002, 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4.507,58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67.275,99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60.966,00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67.275,99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60.966,00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90,6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2.444,71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Centar za kulturu i informiranje D. Novak je za razdoblje 01.01.-30.09.2026. ostvario ukupne prihode u iznosu 655.752,08 eura što je za 19% više nego u istom razdoblju prošle godine. Tekuće pomoći proračunskim korisnicima iz proračuna koji im nije nadležan (konto 6361) veće su za 74,6% u odnosu na isto razdoblje prošle godine. Prihodi po posebnim propisima (konto 65264 – Sufinanciranje cijene usluge, participacije i sl – prodaja karata za filmove i predstave) manji su za 25,6% u odnosu na prošlu godinu. Prihodi od pruženih usluga (konto 6615) veći su za 75,9% od istog razdoblja prošle godine. Do povećanja spomenutih prihoda došlo je iz razloga što je od 01.12.2025. godine Radio Ludbreg sastavni dio Centra za kulturu. Prihodi iz nadležnog proračuna veći su za 15,7% od istog razdoblja prošle godine.</w:t>
      </w:r>
    </w:p>
    <w:p>
      <w:r>
        <w:t xml:space="preserve">Rashodi poslovanja za spomenuto razdoblje iznose 592.341,37 eura i za 10,5% su veći nego u istom razdoblju prošle godine. Rashodi za zaposlene su veći za 17% u odnosu na prošlu godinu jer je rasla osnovica za obračun plaće i zaposlena su 4 djelatnika koja su bila zaposlena na Radio Ludbregu. Materijalni rashodi su manji za 6,8% u odnosu na prošlu godinu. Financijski rashodi su za 29,9% posto manji nego u istom razdoblju prošle godine. Razlog smanjenja je taj što je Centar od 01.01.2026. u sustavu pune riznice i posluje preko jedinstvenog računa nadležnog proračuna, pa nema više troškove bankarskih usluga. Također je s 31.07.2026. plaćena zadnja rata kamate za  kredit prema HBOR-u.</w:t>
      </w:r>
    </w:p>
    <w:p>
      <w:r>
        <w:t xml:space="preserve">Rashoda za nabavu nefinancijske imovine u ovom izvještajnom razdoblju nema.</w:t>
      </w:r>
    </w:p>
    <w:p>
      <w:r>
        <w:t xml:space="preserve">Izdaci za financijsku imovinu i otplatu kredita  manji su za 9,4% u odnosu na isto razdoblje prošle godine. Kao što je već spomenuto, u 7.mj. otplaćena je zadnja rata glavnice kredita prema HBOR-u. Otplata preostalog kredita ide prema otplatnom planu.</w:t>
      </w:r>
    </w:p>
    <w:p>
      <w:r>
        <w:t xml:space="preserve">Na dan 30.09.2026. ostvaren je višak  prihoda u iznosu 2.444,71 eura i pokriva dio manjka iz prošle godine, tako da se u sljedeće razdoblje prenosi manjak u iznosu 39.712,67 eura.</w:t>
      </w:r>
    </w:p>
    <w:p>
      <w:r>
        <w:t xml:space="preserve">Kako je Centar u sustavu pune riznice nisu iskazana sredstva na obrascu PR-RAS, stanje novčanih sredstava na početku i na kraju izvještajnog razdoblja.</w:t>
      </w:r>
    </w:p>
    <w:p>
      <w:r>
        <w:br/>
      </w:r>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252ca54080924609" /></Relationships>
</file>